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81" w:rsidRPr="00F961F4" w:rsidRDefault="00550781" w:rsidP="00550781">
      <w:pPr>
        <w:pStyle w:val="3"/>
        <w:jc w:val="center"/>
        <w:rPr>
          <w:rFonts w:ascii="黑体" w:eastAsia="黑体"/>
          <w:sz w:val="44"/>
          <w:szCs w:val="44"/>
        </w:rPr>
      </w:pPr>
      <w:bookmarkStart w:id="0" w:name="_Toc238843160"/>
      <w:bookmarkStart w:id="1" w:name="_Toc238843757"/>
      <w:bookmarkStart w:id="2" w:name="_Toc238844163"/>
      <w:bookmarkStart w:id="3" w:name="_Toc238844307"/>
      <w:bookmarkStart w:id="4" w:name="_Toc238846761"/>
      <w:bookmarkStart w:id="5" w:name="_Toc238849296"/>
      <w:bookmarkStart w:id="6" w:name="_Toc241300352"/>
      <w:bookmarkStart w:id="7" w:name="_Toc247475121"/>
      <w:bookmarkStart w:id="8" w:name="_Toc280132381"/>
      <w:bookmarkStart w:id="9" w:name="_Toc288512085"/>
      <w:bookmarkStart w:id="10" w:name="_Toc332582621"/>
      <w:bookmarkStart w:id="11" w:name="_Toc351328861"/>
      <w:bookmarkStart w:id="12" w:name="_Toc383654298"/>
      <w:bookmarkStart w:id="13" w:name="OLE_LINK8"/>
      <w:bookmarkStart w:id="14" w:name="_Toc417636806"/>
      <w:bookmarkStart w:id="15" w:name="_Toc238849299"/>
      <w:bookmarkStart w:id="16" w:name="_Toc288512088"/>
      <w:r w:rsidRPr="00F961F4">
        <w:rPr>
          <w:rFonts w:ascii="黑体" w:eastAsia="黑体" w:hint="eastAsia"/>
          <w:sz w:val="44"/>
          <w:szCs w:val="44"/>
        </w:rPr>
        <w:t>工程教育认证现场考查报告（参考格式）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50781" w:rsidRPr="00F961F4" w:rsidRDefault="00550781" w:rsidP="00550781">
      <w:pPr>
        <w:spacing w:line="360" w:lineRule="auto"/>
        <w:ind w:firstLineChars="200" w:firstLine="480"/>
        <w:rPr>
          <w:rFonts w:ascii="宋体" w:hAnsi="宋体"/>
          <w:sz w:val="24"/>
        </w:rPr>
      </w:pPr>
      <w:r w:rsidRPr="00F961F4">
        <w:rPr>
          <w:rFonts w:ascii="宋体" w:hAnsi="宋体" w:hint="eastAsia"/>
          <w:sz w:val="24"/>
        </w:rPr>
        <w:t>（本报告不是认证最终报告，不对外公开。现场考查专家组在考查结束后15日内向专业类认证委员会提交，由专业类认证委员会送学校征询意见（附表不向学校提供）。专业类认证委员会根据本报告和学校反馈意见以及学校提交的自评报告等材料审议做出认证结论建议，形成认证报告）</w:t>
      </w:r>
    </w:p>
    <w:p w:rsidR="00550781" w:rsidRPr="00F961F4" w:rsidRDefault="00550781" w:rsidP="00550781">
      <w:pPr>
        <w:spacing w:line="360" w:lineRule="auto"/>
        <w:ind w:leftChars="600" w:left="1260"/>
        <w:rPr>
          <w:rFonts w:ascii="宋体" w:hAnsi="宋体"/>
          <w:b/>
          <w:sz w:val="24"/>
        </w:rPr>
      </w:pPr>
      <w:r w:rsidRPr="00F961F4">
        <w:rPr>
          <w:rFonts w:ascii="宋体" w:hAnsi="宋体" w:hint="eastAsia"/>
          <w:b/>
          <w:sz w:val="24"/>
        </w:rPr>
        <w:t>学校名称：</w:t>
      </w:r>
    </w:p>
    <w:p w:rsidR="00550781" w:rsidRPr="00F961F4" w:rsidRDefault="00550781" w:rsidP="00550781">
      <w:pPr>
        <w:spacing w:line="360" w:lineRule="auto"/>
        <w:ind w:leftChars="600" w:left="1260"/>
        <w:rPr>
          <w:rFonts w:ascii="宋体" w:hAnsi="宋体"/>
          <w:b/>
          <w:sz w:val="24"/>
        </w:rPr>
      </w:pPr>
      <w:r w:rsidRPr="00F961F4">
        <w:rPr>
          <w:rFonts w:ascii="宋体" w:hAnsi="宋体" w:hint="eastAsia"/>
          <w:b/>
          <w:sz w:val="24"/>
        </w:rPr>
        <w:t>考查专业：</w:t>
      </w:r>
    </w:p>
    <w:p w:rsidR="00550781" w:rsidRPr="00F961F4" w:rsidRDefault="00550781" w:rsidP="00550781">
      <w:pPr>
        <w:spacing w:line="360" w:lineRule="auto"/>
        <w:ind w:leftChars="600" w:left="1260"/>
        <w:rPr>
          <w:rFonts w:ascii="宋体" w:hAnsi="宋体"/>
          <w:b/>
          <w:sz w:val="24"/>
        </w:rPr>
      </w:pPr>
      <w:r w:rsidRPr="00F961F4">
        <w:rPr>
          <w:rFonts w:ascii="宋体" w:hAnsi="宋体" w:hint="eastAsia"/>
          <w:b/>
          <w:sz w:val="24"/>
        </w:rPr>
        <w:t>考查时间：</w:t>
      </w:r>
    </w:p>
    <w:p w:rsidR="00550781" w:rsidRPr="00F961F4" w:rsidRDefault="00550781" w:rsidP="00550781">
      <w:pPr>
        <w:spacing w:before="260" w:after="260" w:line="360" w:lineRule="auto"/>
        <w:rPr>
          <w:rFonts w:ascii="黑体" w:eastAsia="黑体"/>
          <w:sz w:val="24"/>
          <w:szCs w:val="24"/>
        </w:rPr>
      </w:pPr>
      <w:r w:rsidRPr="00F961F4">
        <w:rPr>
          <w:rFonts w:ascii="黑体" w:eastAsia="黑体" w:hint="eastAsia"/>
          <w:sz w:val="24"/>
          <w:szCs w:val="24"/>
        </w:rPr>
        <w:t>一、专业基本情况</w:t>
      </w:r>
    </w:p>
    <w:p w:rsidR="00550781" w:rsidRPr="00F961F4" w:rsidRDefault="00550781" w:rsidP="00550781">
      <w:pPr>
        <w:spacing w:line="360" w:lineRule="auto"/>
        <w:ind w:left="420"/>
        <w:rPr>
          <w:rFonts w:ascii="楷体_GB2312" w:eastAsia="楷体_GB2312" w:hAnsi="宋体"/>
          <w:sz w:val="24"/>
        </w:rPr>
      </w:pPr>
      <w:r w:rsidRPr="00F961F4">
        <w:rPr>
          <w:rFonts w:ascii="楷体_GB2312" w:eastAsia="楷体_GB2312" w:hAnsi="宋体" w:hint="eastAsia"/>
          <w:sz w:val="24"/>
        </w:rPr>
        <w:t>（简要描述专业的基本情况）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260" w:after="260" w:line="360" w:lineRule="auto"/>
        <w:rPr>
          <w:rFonts w:ascii="黑体" w:eastAsia="黑体"/>
          <w:sz w:val="24"/>
          <w:szCs w:val="24"/>
        </w:rPr>
      </w:pPr>
      <w:r w:rsidRPr="00F961F4">
        <w:rPr>
          <w:rFonts w:ascii="黑体" w:eastAsia="黑体" w:hint="eastAsia"/>
          <w:sz w:val="24"/>
          <w:szCs w:val="24"/>
        </w:rPr>
        <w:t>二、对自评报告的审阅意见及问题核实情况</w:t>
      </w:r>
    </w:p>
    <w:p w:rsidR="00550781" w:rsidRPr="00F961F4" w:rsidRDefault="00550781" w:rsidP="00550781">
      <w:pPr>
        <w:spacing w:line="360" w:lineRule="auto"/>
        <w:ind w:left="420"/>
        <w:rPr>
          <w:rFonts w:ascii="楷体_GB2312" w:eastAsia="楷体_GB2312" w:hAnsi="宋体"/>
          <w:sz w:val="24"/>
        </w:rPr>
      </w:pPr>
      <w:r w:rsidRPr="00F961F4">
        <w:rPr>
          <w:rFonts w:ascii="楷体_GB2312" w:eastAsia="楷体_GB2312" w:hAnsi="宋体" w:hint="eastAsia"/>
          <w:sz w:val="24"/>
        </w:rPr>
        <w:t>（详细描述专家组对自评报告的审阅意见、需要核实的问题，并根据现场考查情况描述相关问题的核实情况。不描述考查过程和内容）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260" w:after="260" w:line="360" w:lineRule="auto"/>
        <w:rPr>
          <w:rFonts w:ascii="黑体" w:eastAsia="黑体"/>
          <w:sz w:val="24"/>
          <w:szCs w:val="24"/>
        </w:rPr>
      </w:pPr>
      <w:r w:rsidRPr="00F961F4">
        <w:rPr>
          <w:rFonts w:ascii="黑体" w:eastAsia="黑体" w:hint="eastAsia"/>
          <w:sz w:val="24"/>
          <w:szCs w:val="24"/>
        </w:rPr>
        <w:t>三、专业符合认证标准要求的达成度</w:t>
      </w:r>
    </w:p>
    <w:p w:rsidR="00550781" w:rsidRPr="00F961F4" w:rsidRDefault="00550781" w:rsidP="00550781">
      <w:pPr>
        <w:spacing w:line="360" w:lineRule="auto"/>
        <w:ind w:left="420"/>
        <w:rPr>
          <w:rFonts w:ascii="楷体_GB2312" w:eastAsia="楷体_GB2312" w:hAnsi="宋体"/>
          <w:sz w:val="24"/>
        </w:rPr>
      </w:pPr>
      <w:r w:rsidRPr="00F961F4">
        <w:rPr>
          <w:rFonts w:ascii="楷体_GB2312" w:eastAsia="楷体_GB2312" w:hAnsi="宋体" w:hint="eastAsia"/>
          <w:sz w:val="24"/>
        </w:rPr>
        <w:t>（逐条详细描述专业如何达到该条标准要求的，描述内容应具体、有针对性）</w:t>
      </w: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3.1 学生</w:t>
      </w:r>
    </w:p>
    <w:p w:rsidR="00550781" w:rsidRPr="00F961F4" w:rsidRDefault="00550781" w:rsidP="00550781">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lang w:val="fr-FR"/>
        </w:rPr>
        <w:t>标准内容：1. 具有吸引优秀生源的制度和措施。</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2. 具有完善的学生学习指导、职业规划、就业指导、心理辅导等方面的措施并能够很好地执行落实。</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rsidR="00550781" w:rsidRPr="00F961F4" w:rsidRDefault="00550781" w:rsidP="00550781">
      <w:pPr>
        <w:snapToGrid w:val="0"/>
        <w:spacing w:line="360" w:lineRule="auto"/>
        <w:ind w:firstLine="480"/>
        <w:rPr>
          <w:rFonts w:ascii="宋体" w:hAnsi="宋体"/>
          <w:b/>
          <w:sz w:val="24"/>
          <w:szCs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3. 对学生在整个学习过程中的表现进行跟踪与评估，并通过形成性评价保证学生毕业时达到毕业要求。</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4. 有明确的规定和相应认定过程，认可转专业、转学学生的原有学分。</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3.2 培养目标</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有公开的、符合学校定位的、适应社会经济发展需要的培养目标。</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000648B8">
        <w:rPr>
          <w:rFonts w:ascii="宋体" w:hAnsi="宋体"/>
          <w:b/>
          <w:sz w:val="24"/>
          <w:szCs w:val="24"/>
          <w:u w:val="single"/>
        </w:rPr>
        <w:t>2</w:t>
      </w:r>
      <w:r w:rsidRPr="00F961F4">
        <w:rPr>
          <w:rFonts w:ascii="宋体" w:hAnsi="宋体" w:hint="eastAsia"/>
          <w:b/>
          <w:sz w:val="24"/>
          <w:szCs w:val="24"/>
          <w:u w:val="single"/>
        </w:rPr>
        <w:t>.定期评价培养目标的合理性并根据评价结果对培养目标进行修订，评价与修订过程有行业或企业专家参与。</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lastRenderedPageBreak/>
        <w:t>3.3 毕业要求</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000648B8" w:rsidRPr="000648B8">
        <w:rPr>
          <w:rFonts w:ascii="宋体" w:hAnsi="宋体" w:hint="eastAsia"/>
          <w:b/>
          <w:sz w:val="24"/>
          <w:szCs w:val="24"/>
          <w:u w:val="single"/>
        </w:rPr>
        <w:t>专业必须有明确、公开、可衡量的毕业要求</w:t>
      </w:r>
      <w:r w:rsidRPr="00F961F4">
        <w:rPr>
          <w:rFonts w:ascii="宋体" w:hAnsi="宋体" w:hint="eastAsia"/>
          <w:b/>
          <w:sz w:val="24"/>
          <w:szCs w:val="24"/>
          <w:u w:val="single"/>
        </w:rPr>
        <w:t>, 毕业要求应能支撑培养目标的达成。</w:t>
      </w:r>
      <w:bookmarkStart w:id="17" w:name="_GoBack"/>
      <w:bookmarkEnd w:id="17"/>
      <w:r w:rsidRPr="00F961F4">
        <w:rPr>
          <w:rFonts w:ascii="宋体" w:hAnsi="宋体" w:hint="eastAsia"/>
          <w:b/>
          <w:sz w:val="24"/>
          <w:szCs w:val="24"/>
          <w:u w:val="single"/>
        </w:rPr>
        <w:t>专业制定的毕业要求应完全覆盖以下内容：</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标准内容：1.工程知识：能够将数学、自然科学、工程基础和专业知识用于解决复杂工程问题。</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标准内容：2.问题分析：能够应用数学、自然科学和工程科学的基本原理，识别、表达、并通过文献研究分析复杂工程问题，以获得有效结论。</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设计/开发解决方案：能够设计针对复杂工程问题的解决方案，设计满足特定需求的系统、单元（部件）或工艺流程，并能够在设计环节中体现创新意识，考虑社会、健康、安全、法律、文化以及环境等因素。</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标准内容：4.研究：能够基于科学原理并采用科学方法对复杂工程问题进行研究，包括设计实验、分析与解释数据、并通过信息综合得到合理有效的结论。</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标准内容：5.使用现代工具：能够针对复杂工程问题，开发、选择与使用恰当的技术、资源、现代工程工具和信息技术工具，包括对复杂工程问题的预测与模拟，并能够理解其局限性。</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标准内容：6.工程与社会：能够基于工程相关背景知识进行合理分析，评价专业工程实践和复杂工程问题解决方案对社会、健康、安全、法律以及文化的影响，并理解应承担的责任。</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标准内容：7.环境和可持续发展：能够理解和评价针对复杂工程问题的工程实践对环境、社会可持续发展的影响。</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标准内容：8.职业规范：具有人文社会科学素养、社会责任感，能够在工程实践中理解并遵守工程职业道德和规范，履行责任。 </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标准内容：9.个人和团队：能够在多学科背景下的团队中承担个体、团队</w:t>
      </w:r>
      <w:r w:rsidRPr="00F961F4">
        <w:rPr>
          <w:rFonts w:ascii="宋体" w:hAnsi="宋体" w:hint="eastAsia"/>
          <w:b/>
          <w:sz w:val="24"/>
          <w:szCs w:val="24"/>
          <w:u w:val="single"/>
        </w:rPr>
        <w:lastRenderedPageBreak/>
        <w:t>成员以及负责人的角色。</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标准内容：10.沟通：能够就复杂工程问题与业界同行及社会公众进行有效沟通和交流，包括撰写报告和设计文稿、陈述发言、清晰表达或回应指令。并具备一定的国际视野，能够在跨文化背景下进行沟通和交流。</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napToGrid w:val="0"/>
        <w:spacing w:line="360" w:lineRule="auto"/>
        <w:ind w:firstLine="480"/>
        <w:rPr>
          <w:rFonts w:ascii="宋体" w:hAnsi="宋体"/>
          <w:b/>
          <w:sz w:val="24"/>
          <w:szCs w:val="24"/>
          <w:u w:val="single"/>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标准内容：11.项目管理：理解并掌握工程管理原理与经济决策方法，并能在多学科环境中应用。</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标准内容：12.终身学习：具有自主学习和终身学习的意识，有不断学习和适应发展的能力。</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3.4  持续改进</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标准内容：1. </w:t>
      </w:r>
      <w:r w:rsidR="000648B8" w:rsidRPr="000648B8">
        <w:rPr>
          <w:rFonts w:ascii="宋体" w:hAnsi="宋体" w:hint="eastAsia"/>
          <w:b/>
          <w:sz w:val="24"/>
          <w:szCs w:val="24"/>
          <w:u w:val="single"/>
        </w:rPr>
        <w:t>建立教学过程质量监控机制，各主要教学环节有明确的质量要求，定期开展课程体系设置和课程质量评价。建立毕业要求达成情况评价机制，定期开展毕业要求达成情况评价。</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建立毕业生跟踪反馈机制以及有高等教育系统以外有关各方参与的社会评价机制，</w:t>
      </w:r>
      <w:r w:rsidR="000648B8" w:rsidRPr="000648B8">
        <w:rPr>
          <w:rFonts w:ascii="宋体" w:hAnsi="宋体" w:hint="eastAsia"/>
          <w:b/>
          <w:sz w:val="24"/>
          <w:szCs w:val="24"/>
          <w:u w:val="single"/>
        </w:rPr>
        <w:t>对培养目标的达成情况进行定期分析。</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能证明评价的结果被用于专业的持续改进。</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3.5  课程体系</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标准内容：课程设置能支持毕业要求的达成，课程体系设计有企业或行业专家参与。课程体系必须包括：</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标准内容：1．与本专业毕业要求相适应的数学与自然科学类课程（至少占总学分的15%）。</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标准内容：2．符合本专业毕业要求的工程基础类课程、专业基础类课程与专业类课程（至少占总学分的30%）。工程基础类课程和专业基础类课程能体现</w:t>
      </w:r>
      <w:r w:rsidRPr="00F961F4">
        <w:rPr>
          <w:rFonts w:ascii="宋体" w:hAnsi="宋体" w:hint="eastAsia"/>
          <w:b/>
          <w:sz w:val="24"/>
          <w:szCs w:val="24"/>
          <w:u w:val="single"/>
        </w:rPr>
        <w:lastRenderedPageBreak/>
        <w:t>数学和自然科学在本专业应用能力培养，专业类课程能体现系统设计和实现能力的培养。</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标准内容：4.人文社会科学类通识教育课程（至少占总学分的15%），使学生在从事工程设计时能够考虑经济、环境、法律、伦理等各种制约因素。</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3.6 师资队伍</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教师数量能满足教学需要，结构合理，并有企业或行业专家作为兼职教师。</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教师具有足够的教学能力、专业水平、工程经验、沟通能力、</w:t>
      </w:r>
      <w:r w:rsidRPr="00F961F4">
        <w:rPr>
          <w:rFonts w:ascii="宋体" w:hAnsi="宋体" w:hint="eastAsia"/>
          <w:b/>
          <w:sz w:val="24"/>
          <w:szCs w:val="24"/>
          <w:u w:val="single"/>
        </w:rPr>
        <w:lastRenderedPageBreak/>
        <w:t>职业发展能力，并且能够开展工程实践问题研究，参与学术交流。教师的工程背景应能满足专业教学的需要。</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教师有足够时间和精力投入到本科教学和学生指导中，并积极参与教学研究与改革。</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 教师为学生提供指导、咨询、服务，并对学生职业生涯规划、职业从业教育有足够的指导。</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教师明确他们在教学质量提升过程中的责任，不断改进工作。</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3.7支持条件</w:t>
      </w: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教室、实验室及设备在数量和功能上满足教学需要。有良好的管理、维护和更新机制，使得学生能够方便地使用。与企业合作共建实习和实训基地，在教学过程中为学生提供参与工程实践的平台。</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计算机、网络以及图书资料资源能够满足学生的学习以及教师的日常教学和科研所需。资源管理规范、共享程度高。</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教学经费有保证，总量能满足教学需要。</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标准内容：4．学校能够有效地支持教师队伍建设，吸引与稳定合格的教师，并支持教师本身的专业发展，包括对青年教师的指导和培养。</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学校能够提供达成毕业要求所必需的基础设施，包括为学生的实践活动、创新活动提供有效支持。</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 学校的教学管理与服务规范，能有效地支持专业毕业要求的达成。</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ind w:left="420"/>
        <w:rPr>
          <w:rFonts w:ascii="宋体" w:hAnsi="宋体"/>
          <w:sz w:val="24"/>
        </w:rPr>
      </w:pP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3.8专业补充标准</w:t>
      </w: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550781" w:rsidRPr="00F961F4" w:rsidRDefault="00550781" w:rsidP="00550781">
      <w:pPr>
        <w:spacing w:line="360" w:lineRule="auto"/>
        <w:ind w:firstLine="480"/>
        <w:rPr>
          <w:rFonts w:ascii="宋体" w:hAnsi="宋体"/>
          <w:sz w:val="24"/>
        </w:rPr>
      </w:pPr>
    </w:p>
    <w:p w:rsidR="00550781" w:rsidRPr="00F961F4" w:rsidRDefault="00550781" w:rsidP="00550781">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550781" w:rsidRPr="00F961F4" w:rsidRDefault="00550781" w:rsidP="00550781">
      <w:pPr>
        <w:spacing w:line="360" w:lineRule="auto"/>
        <w:rPr>
          <w:rFonts w:ascii="宋体" w:hAnsi="宋体"/>
          <w:b/>
          <w:sz w:val="24"/>
        </w:rPr>
      </w:pPr>
    </w:p>
    <w:p w:rsidR="00550781" w:rsidRPr="00F961F4" w:rsidRDefault="00550781" w:rsidP="00550781">
      <w:pPr>
        <w:spacing w:before="260" w:after="260" w:line="360" w:lineRule="auto"/>
        <w:rPr>
          <w:rFonts w:ascii="黑体" w:eastAsia="黑体"/>
          <w:sz w:val="24"/>
          <w:szCs w:val="24"/>
        </w:rPr>
      </w:pPr>
      <w:r w:rsidRPr="00F961F4">
        <w:rPr>
          <w:rFonts w:ascii="黑体" w:eastAsia="黑体" w:hint="eastAsia"/>
          <w:sz w:val="24"/>
          <w:szCs w:val="24"/>
        </w:rPr>
        <w:t>四、现场考查过程中发现的问题和不足，以及需要关注的事项</w:t>
      </w:r>
    </w:p>
    <w:p w:rsidR="00550781" w:rsidRPr="00F961F4" w:rsidRDefault="00550781" w:rsidP="00550781">
      <w:pPr>
        <w:spacing w:line="360" w:lineRule="auto"/>
        <w:ind w:leftChars="200" w:left="420"/>
        <w:rPr>
          <w:rFonts w:ascii="楷体_GB2312" w:eastAsia="楷体_GB2312" w:hAnsi="宋体"/>
          <w:sz w:val="24"/>
        </w:rPr>
      </w:pPr>
      <w:r w:rsidRPr="00F961F4">
        <w:rPr>
          <w:rFonts w:ascii="楷体_GB2312" w:eastAsia="楷体_GB2312" w:hAnsi="宋体" w:hint="eastAsia"/>
          <w:sz w:val="24"/>
        </w:rPr>
        <w:t>（</w:t>
      </w:r>
      <w:r>
        <w:rPr>
          <w:rFonts w:ascii="楷体_GB2312" w:eastAsia="楷体_GB2312" w:hAnsi="宋体" w:hint="eastAsia"/>
          <w:sz w:val="24"/>
        </w:rPr>
        <w:t>按指标项</w:t>
      </w:r>
      <w:r w:rsidRPr="00F961F4">
        <w:rPr>
          <w:rFonts w:ascii="楷体_GB2312" w:eastAsia="楷体_GB2312" w:hAnsi="宋体" w:hint="eastAsia"/>
          <w:sz w:val="24"/>
        </w:rPr>
        <w:t>详细说明现场考查过程中发现的主要问题和不足，以及需要关注并采取措施予以改进的事项）</w:t>
      </w:r>
    </w:p>
    <w:p w:rsidR="00550781" w:rsidRPr="00F961F4" w:rsidRDefault="00550781" w:rsidP="00550781">
      <w:pPr>
        <w:spacing w:line="360" w:lineRule="auto"/>
        <w:ind w:firstLine="480"/>
        <w:rPr>
          <w:rFonts w:ascii="宋体" w:hAnsi="宋体"/>
          <w:sz w:val="24"/>
        </w:rPr>
      </w:pPr>
    </w:p>
    <w:p w:rsidR="00550781" w:rsidRPr="00F961F4" w:rsidRDefault="00550781" w:rsidP="00550781">
      <w:pPr>
        <w:spacing w:line="360" w:lineRule="auto"/>
        <w:rPr>
          <w:rFonts w:ascii="宋体" w:hAnsi="宋体"/>
          <w:b/>
          <w:sz w:val="24"/>
        </w:rPr>
      </w:pPr>
      <w:r w:rsidRPr="00F961F4">
        <w:rPr>
          <w:rFonts w:hAnsi="宋体"/>
          <w:b/>
          <w:sz w:val="24"/>
        </w:rPr>
        <w:t>专家组</w:t>
      </w:r>
      <w:r>
        <w:rPr>
          <w:rFonts w:hAnsi="宋体" w:hint="eastAsia"/>
          <w:b/>
          <w:sz w:val="24"/>
        </w:rPr>
        <w:t>组长（签字）</w:t>
      </w:r>
      <w:r w:rsidRPr="00F961F4">
        <w:rPr>
          <w:rFonts w:hAnsi="宋体"/>
          <w:b/>
          <w:sz w:val="24"/>
        </w:rPr>
        <w:t>：</w:t>
      </w:r>
    </w:p>
    <w:p w:rsidR="00550781" w:rsidRDefault="00550781" w:rsidP="00550781">
      <w:pPr>
        <w:spacing w:line="360" w:lineRule="auto"/>
        <w:rPr>
          <w:rFonts w:ascii="仿宋_GB2312" w:eastAsia="仿宋_GB2312"/>
          <w:szCs w:val="21"/>
        </w:rPr>
      </w:pPr>
    </w:p>
    <w:p w:rsidR="00550781" w:rsidRPr="00F961F4" w:rsidRDefault="00550781" w:rsidP="00550781">
      <w:pPr>
        <w:spacing w:line="360" w:lineRule="auto"/>
        <w:rPr>
          <w:rFonts w:ascii="仿宋_GB2312" w:eastAsia="仿宋_GB2312"/>
          <w:szCs w:val="21"/>
        </w:rPr>
      </w:pPr>
    </w:p>
    <w:p w:rsidR="00550781" w:rsidRPr="00F961F4" w:rsidRDefault="00550781" w:rsidP="00550781">
      <w:pPr>
        <w:spacing w:line="360" w:lineRule="auto"/>
        <w:ind w:leftChars="1297" w:left="2724" w:firstLineChars="664" w:firstLine="1594"/>
        <w:rPr>
          <w:rFonts w:ascii="宋体" w:hAnsi="宋体"/>
          <w:sz w:val="24"/>
        </w:rPr>
      </w:pPr>
      <w:r w:rsidRPr="00F961F4">
        <w:rPr>
          <w:rFonts w:ascii="宋体" w:hAnsi="宋体" w:hint="eastAsia"/>
          <w:sz w:val="24"/>
        </w:rPr>
        <w:t>***类专业认证委员会</w:t>
      </w:r>
    </w:p>
    <w:p w:rsidR="00550781" w:rsidRPr="00F961F4" w:rsidRDefault="00550781" w:rsidP="00550781">
      <w:pPr>
        <w:spacing w:line="360" w:lineRule="auto"/>
        <w:ind w:leftChars="1297" w:left="2724" w:firstLineChars="564" w:firstLine="1354"/>
        <w:rPr>
          <w:rFonts w:ascii="宋体" w:hAnsi="宋体"/>
          <w:sz w:val="24"/>
        </w:rPr>
      </w:pPr>
      <w:r w:rsidRPr="00F961F4">
        <w:rPr>
          <w:rFonts w:ascii="宋体" w:hAnsi="宋体" w:hint="eastAsia"/>
          <w:sz w:val="24"/>
        </w:rPr>
        <w:t>赴***专业现场考查专家组</w:t>
      </w:r>
    </w:p>
    <w:p w:rsidR="00550781" w:rsidRPr="00F961F4" w:rsidRDefault="00550781" w:rsidP="00550781">
      <w:pPr>
        <w:spacing w:line="360" w:lineRule="auto"/>
        <w:ind w:leftChars="623" w:left="1308" w:firstLineChars="1392" w:firstLine="3341"/>
        <w:rPr>
          <w:rFonts w:ascii="黑体" w:eastAsia="黑体"/>
          <w:sz w:val="24"/>
          <w:szCs w:val="24"/>
        </w:rPr>
      </w:pPr>
      <w:r w:rsidRPr="00F961F4">
        <w:rPr>
          <w:rFonts w:ascii="宋体" w:hAnsi="宋体" w:hint="eastAsia"/>
          <w:sz w:val="24"/>
        </w:rPr>
        <w:t>年    月    日</w:t>
      </w:r>
    </w:p>
    <w:bookmarkEnd w:id="15"/>
    <w:bookmarkEnd w:id="16"/>
    <w:p w:rsidR="00550781" w:rsidRDefault="00550781" w:rsidP="007A3523">
      <w:pPr>
        <w:spacing w:before="260" w:after="260" w:line="360" w:lineRule="auto"/>
      </w:pPr>
    </w:p>
    <w:p w:rsidR="00E93F38" w:rsidRDefault="00E93F38"/>
    <w:sectPr w:rsidR="00E93F3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40" w:rsidRDefault="00127440">
      <w:r>
        <w:separator/>
      </w:r>
    </w:p>
  </w:endnote>
  <w:endnote w:type="continuationSeparator" w:id="0">
    <w:p w:rsidR="00127440" w:rsidRDefault="0012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44" w:rsidRDefault="005507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4244" w:rsidRDefault="001274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44" w:rsidRDefault="005507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4FAB">
      <w:rPr>
        <w:rStyle w:val="a4"/>
        <w:noProof/>
      </w:rPr>
      <w:t>10</w:t>
    </w:r>
    <w:r>
      <w:rPr>
        <w:rStyle w:val="a4"/>
      </w:rPr>
      <w:fldChar w:fldCharType="end"/>
    </w:r>
  </w:p>
  <w:p w:rsidR="00114244" w:rsidRDefault="0012744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40" w:rsidRDefault="00127440">
      <w:r>
        <w:separator/>
      </w:r>
    </w:p>
  </w:footnote>
  <w:footnote w:type="continuationSeparator" w:id="0">
    <w:p w:rsidR="00127440" w:rsidRDefault="0012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81"/>
    <w:rsid w:val="000200BD"/>
    <w:rsid w:val="000648B8"/>
    <w:rsid w:val="00127440"/>
    <w:rsid w:val="00133241"/>
    <w:rsid w:val="00361EDF"/>
    <w:rsid w:val="00454FAB"/>
    <w:rsid w:val="00550781"/>
    <w:rsid w:val="007A3523"/>
    <w:rsid w:val="007A5AAF"/>
    <w:rsid w:val="009A4D35"/>
    <w:rsid w:val="00C14E29"/>
    <w:rsid w:val="00E93F38"/>
    <w:rsid w:val="00F9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81"/>
    <w:pPr>
      <w:widowControl w:val="0"/>
      <w:jc w:val="both"/>
    </w:pPr>
    <w:rPr>
      <w:rFonts w:ascii="Times New Roman" w:eastAsia="宋体" w:hAnsi="Times New Roman" w:cs="Times New Roman"/>
      <w:sz w:val="21"/>
      <w:szCs w:val="20"/>
    </w:rPr>
  </w:style>
  <w:style w:type="paragraph" w:styleId="1">
    <w:name w:val="heading 1"/>
    <w:basedOn w:val="a"/>
    <w:next w:val="a"/>
    <w:link w:val="1Char"/>
    <w:qFormat/>
    <w:rsid w:val="00550781"/>
    <w:pPr>
      <w:keepNext/>
      <w:keepLines/>
      <w:spacing w:before="340" w:after="330" w:line="576" w:lineRule="auto"/>
      <w:outlineLvl w:val="0"/>
    </w:pPr>
    <w:rPr>
      <w:b/>
      <w:kern w:val="44"/>
      <w:sz w:val="44"/>
    </w:rPr>
  </w:style>
  <w:style w:type="paragraph" w:styleId="2">
    <w:name w:val="heading 2"/>
    <w:basedOn w:val="a"/>
    <w:next w:val="a"/>
    <w:link w:val="2Char"/>
    <w:qFormat/>
    <w:rsid w:val="00550781"/>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55078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0781"/>
    <w:rPr>
      <w:rFonts w:ascii="Times New Roman" w:eastAsia="宋体" w:hAnsi="Times New Roman" w:cs="Times New Roman"/>
      <w:b/>
      <w:kern w:val="44"/>
      <w:sz w:val="44"/>
      <w:szCs w:val="20"/>
    </w:rPr>
  </w:style>
  <w:style w:type="character" w:customStyle="1" w:styleId="2Char">
    <w:name w:val="标题 2 Char"/>
    <w:basedOn w:val="a0"/>
    <w:link w:val="2"/>
    <w:rsid w:val="00550781"/>
    <w:rPr>
      <w:rFonts w:ascii="Times New Roman" w:eastAsia="宋体" w:hAnsi="Times New Roman" w:cs="Times New Roman"/>
      <w:b/>
      <w:kern w:val="18"/>
      <w:szCs w:val="20"/>
      <w:lang w:val="en-AU" w:eastAsia="en-US"/>
    </w:rPr>
  </w:style>
  <w:style w:type="character" w:customStyle="1" w:styleId="3Char">
    <w:name w:val="标题 3 Char"/>
    <w:basedOn w:val="a0"/>
    <w:link w:val="3"/>
    <w:rsid w:val="00550781"/>
    <w:rPr>
      <w:rFonts w:ascii="Times New Roman" w:eastAsia="宋体" w:hAnsi="Times New Roman" w:cs="Times New Roman"/>
      <w:b/>
      <w:sz w:val="32"/>
      <w:szCs w:val="20"/>
    </w:rPr>
  </w:style>
  <w:style w:type="paragraph" w:styleId="a3">
    <w:name w:val="footer"/>
    <w:basedOn w:val="a"/>
    <w:link w:val="Char"/>
    <w:uiPriority w:val="99"/>
    <w:unhideWhenUsed/>
    <w:rsid w:val="005507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550781"/>
    <w:rPr>
      <w:sz w:val="18"/>
      <w:szCs w:val="18"/>
    </w:rPr>
  </w:style>
  <w:style w:type="character" w:styleId="a4">
    <w:name w:val="page number"/>
    <w:basedOn w:val="a0"/>
    <w:rsid w:val="00550781"/>
  </w:style>
  <w:style w:type="paragraph" w:styleId="a5">
    <w:name w:val="header"/>
    <w:basedOn w:val="a"/>
    <w:link w:val="Char0"/>
    <w:uiPriority w:val="99"/>
    <w:unhideWhenUsed/>
    <w:rsid w:val="00F958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9585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81"/>
    <w:pPr>
      <w:widowControl w:val="0"/>
      <w:jc w:val="both"/>
    </w:pPr>
    <w:rPr>
      <w:rFonts w:ascii="Times New Roman" w:eastAsia="宋体" w:hAnsi="Times New Roman" w:cs="Times New Roman"/>
      <w:sz w:val="21"/>
      <w:szCs w:val="20"/>
    </w:rPr>
  </w:style>
  <w:style w:type="paragraph" w:styleId="1">
    <w:name w:val="heading 1"/>
    <w:basedOn w:val="a"/>
    <w:next w:val="a"/>
    <w:link w:val="1Char"/>
    <w:qFormat/>
    <w:rsid w:val="00550781"/>
    <w:pPr>
      <w:keepNext/>
      <w:keepLines/>
      <w:spacing w:before="340" w:after="330" w:line="576" w:lineRule="auto"/>
      <w:outlineLvl w:val="0"/>
    </w:pPr>
    <w:rPr>
      <w:b/>
      <w:kern w:val="44"/>
      <w:sz w:val="44"/>
    </w:rPr>
  </w:style>
  <w:style w:type="paragraph" w:styleId="2">
    <w:name w:val="heading 2"/>
    <w:basedOn w:val="a"/>
    <w:next w:val="a"/>
    <w:link w:val="2Char"/>
    <w:qFormat/>
    <w:rsid w:val="00550781"/>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55078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0781"/>
    <w:rPr>
      <w:rFonts w:ascii="Times New Roman" w:eastAsia="宋体" w:hAnsi="Times New Roman" w:cs="Times New Roman"/>
      <w:b/>
      <w:kern w:val="44"/>
      <w:sz w:val="44"/>
      <w:szCs w:val="20"/>
    </w:rPr>
  </w:style>
  <w:style w:type="character" w:customStyle="1" w:styleId="2Char">
    <w:name w:val="标题 2 Char"/>
    <w:basedOn w:val="a0"/>
    <w:link w:val="2"/>
    <w:rsid w:val="00550781"/>
    <w:rPr>
      <w:rFonts w:ascii="Times New Roman" w:eastAsia="宋体" w:hAnsi="Times New Roman" w:cs="Times New Roman"/>
      <w:b/>
      <w:kern w:val="18"/>
      <w:szCs w:val="20"/>
      <w:lang w:val="en-AU" w:eastAsia="en-US"/>
    </w:rPr>
  </w:style>
  <w:style w:type="character" w:customStyle="1" w:styleId="3Char">
    <w:name w:val="标题 3 Char"/>
    <w:basedOn w:val="a0"/>
    <w:link w:val="3"/>
    <w:rsid w:val="00550781"/>
    <w:rPr>
      <w:rFonts w:ascii="Times New Roman" w:eastAsia="宋体" w:hAnsi="Times New Roman" w:cs="Times New Roman"/>
      <w:b/>
      <w:sz w:val="32"/>
      <w:szCs w:val="20"/>
    </w:rPr>
  </w:style>
  <w:style w:type="paragraph" w:styleId="a3">
    <w:name w:val="footer"/>
    <w:basedOn w:val="a"/>
    <w:link w:val="Char"/>
    <w:uiPriority w:val="99"/>
    <w:unhideWhenUsed/>
    <w:rsid w:val="005507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550781"/>
    <w:rPr>
      <w:sz w:val="18"/>
      <w:szCs w:val="18"/>
    </w:rPr>
  </w:style>
  <w:style w:type="character" w:styleId="a4">
    <w:name w:val="page number"/>
    <w:basedOn w:val="a0"/>
    <w:rsid w:val="00550781"/>
  </w:style>
  <w:style w:type="paragraph" w:styleId="a5">
    <w:name w:val="header"/>
    <w:basedOn w:val="a"/>
    <w:link w:val="Char0"/>
    <w:uiPriority w:val="99"/>
    <w:unhideWhenUsed/>
    <w:rsid w:val="00F958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958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张璐</dc:creator>
  <cp:keywords/>
  <dc:description/>
  <cp:lastModifiedBy>xbany</cp:lastModifiedBy>
  <cp:revision>5</cp:revision>
  <dcterms:created xsi:type="dcterms:W3CDTF">2017-12-01T09:11:00Z</dcterms:created>
  <dcterms:modified xsi:type="dcterms:W3CDTF">2018-05-07T01:35:00Z</dcterms:modified>
</cp:coreProperties>
</file>